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3268</w:t>
        <w:t xml:space="preserve">.  </w:t>
      </w:r>
      <w:r>
        <w:rPr>
          <w:b/>
        </w:rPr>
        <w:t xml:space="preserve">Members may administer oaths</w:t>
      </w:r>
    </w:p>
    <w:p>
      <w:pPr>
        <w:jc w:val="both"/>
        <w:spacing w:before="100" w:after="100"/>
        <w:ind w:start="360"/>
        <w:ind w:firstLine="360"/>
      </w:pPr>
      <w:r>
        <w:rPr/>
      </w:r>
      <w:r>
        <w:rPr/>
      </w:r>
      <w:r>
        <w:t xml:space="preserve">A member of the board has the authority to administer oaths, compel the testimony of witnesses and compel the production of books, records and documents relevant to inquiry pursuant to a subpoena issued in accordance with </w:t>
      </w:r>
      <w:r>
        <w:t>section 3269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600, Pt. A, §201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1993, c. 600, §A201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§3268. Members may administer oaths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§3268. Members may administer oaths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§3268. MEMBERS MAY ADMINISTER OATHS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