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4700-M</w:t>
        <w:t xml:space="preserve">.  </w:t>
      </w:r>
      <w:r>
        <w:rPr>
          <w:b/>
        </w:rPr>
        <w:t xml:space="preserve">Reciprocity</w:t>
      </w:r>
    </w:p>
    <w:p>
      <w:pPr>
        <w:jc w:val="both"/>
        <w:spacing w:before="100" w:after="100"/>
        <w:ind w:start="360"/>
        <w:ind w:firstLine="360"/>
      </w:pPr>
      <w:r>
        <w:rPr/>
      </w:r>
      <w:r>
        <w:rPr/>
      </w:r>
      <w:r>
        <w:t xml:space="preserve">The commission may issue a license without examination, in a comparable classification, to any person who holds a registration or license in any state, territory or possession of the United States or any country, if the commission determines that the requirements for registration or licensure of well drillers, geothermal heat exchange well drillers, geothermal heat exchange well pump installers or pump installers under which the person's registration or license was issued do not conflict with this chapter or the code of performance adopted by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153,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 §13 (NEW). PL 2001, c. 209, §B13 (AMD). PL 2009, c. 153,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§4700-M.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§4700-M.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§4700-M.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