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502-A</w:t>
        <w:t xml:space="preserve">.  </w:t>
      </w:r>
      <w:r>
        <w:rPr>
          <w:b/>
        </w:rPr>
        <w:t xml:space="preserve">Chiropractic acupuncture certification</w:t>
      </w:r>
    </w:p>
    <w:p>
      <w:pPr>
        <w:jc w:val="both"/>
        <w:spacing w:before="100" w:after="100"/>
        <w:ind w:start="360"/>
        <w:ind w:firstLine="360"/>
      </w:pPr>
      <w:r>
        <w:rPr/>
      </w:r>
      <w:r>
        <w:rPr/>
      </w:r>
      <w:r>
        <w:t xml:space="preserve">The board shall adopt rules, which are routine technical rules pursuant to </w:t>
      </w:r>
      <w:r>
        <w:t>Title 5, chapter 375, subchapter 2‑A</w:t>
      </w:r>
      <w:r>
        <w:t xml:space="preserve">, authorizing and governing the use of chiropractic acupuncture by certified licensees.  The rules must set forth the requirements for chiropractic acupuncture certification, which must include, but are not limited to, a minimum number of classroom hours of education in acupuncture theory and techniques; a component of supervised clinical acupuncture training or documented clinical acupuncture experience for licensees practicing chiropractic acupuncture prior to April 30, 1999; and instruction in exposure control for blood-borne pathogens and registration as a biomedical waste generator pursuant to </w:t>
      </w:r>
      <w:r>
        <w:t>Title 38, section 1319‑O, subsection 3</w:t>
      </w:r>
      <w:r>
        <w:t xml:space="preserve">.  A person applying for a chiropractic acupuncture certificate shall file an application together with the fee as set under </w:t>
      </w:r>
      <w:r>
        <w:t>section 558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H,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H,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§502-A. Chiropractic acupuncture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§502-A. Chiropractic acupuncture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§502-A. CHIROPRACTIC ACUPUNCTURE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