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6142</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 registrant's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registrant applied for its registration,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registrant's net worth becomes inadequate and the registrant,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w:t>
        <w:t xml:space="preserve"> </w:t>
      </w:r>
      <w:r>
        <w:t xml:space="preserve"> </w:t>
      </w:r>
      <w:r>
        <w:t xml:space="preserve">The registrant knowingly violates a material provision of this subchapter or a rule or order validly adopted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registrant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registrant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registrant has suspended payment of its obligations, made an assignment for the benefit of its creditors, or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registrant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registrant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registrant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report.</w:t>
        <w:t xml:space="preserve"> </w:t>
      </w:r>
      <w:r>
        <w:t xml:space="preserve"> </w:t>
      </w:r>
      <w:r>
        <w:t xml:space="preserve">The registrant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§6142.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§6142.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§6142.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