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6143</w:t>
        <w:t xml:space="preserve">.  </w:t>
      </w:r>
      <w:r>
        <w:rPr>
          <w:b/>
        </w:rPr>
        <w:t xml:space="preserve">Penalties</w:t>
      </w:r>
    </w:p>
    <w:p>
      <w:pPr>
        <w:jc w:val="both"/>
        <w:spacing w:before="100" w:after="0"/>
        <w:ind w:start="360"/>
        <w:ind w:firstLine="360"/>
      </w:pPr>
      <w:r>
        <w:rPr>
          <w:b/>
        </w:rPr>
        <w:t>1</w:t>
        <w:t xml:space="preserve">.  </w:t>
      </w:r>
      <w:r>
        <w:rPr>
          <w:b/>
        </w:rPr>
        <w:t xml:space="preserve">Criminal penalty.</w:t>
        <w:t xml:space="preserve"> </w:t>
      </w:r>
      <w:r>
        <w:t xml:space="preserve"> </w:t>
      </w:r>
      <w:r>
        <w:t xml:space="preserve">A person who carries on a business regulated by this subchapter without a valid registration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Civil penalty.</w:t>
        <w:t xml:space="preserve"> </w:t>
      </w:r>
      <w:r>
        <w:t xml:space="preserve"> </w:t>
      </w:r>
      <w:r>
        <w:t xml:space="preserve">A registrant who fails to comply with a provision of this subchapter is subject to a civil action in which a court may assess a penalty not to exceed $5,000 or actual damages,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§6143.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