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6165</w:t>
        <w:t xml:space="preserve">.  </w:t>
      </w:r>
      <w:r>
        <w:rPr>
          <w:b/>
        </w:rPr>
        <w:t xml:space="preserve">License required</w:t>
      </w:r>
    </w:p>
    <w:p>
      <w:pPr>
        <w:jc w:val="both"/>
        <w:spacing w:before="100" w:after="100"/>
        <w:ind w:start="360"/>
        <w:ind w:firstLine="360"/>
      </w:pPr>
      <w:r>
        <w:rPr/>
      </w:r>
      <w:r>
        <w:rPr/>
      </w:r>
      <w:r>
        <w:t xml:space="preserve">A virtual currency kiosk operator must be licensed as a money transmitter pursuant to the Maine Money Transmission Modernization Act unless exempt pursuant to </w:t>
      </w:r>
      <w:r>
        <w:t>sections 6074</w:t>
      </w:r>
      <w:r>
        <w:t xml:space="preserve"> and </w:t>
      </w:r>
      <w:r>
        <w:t>6075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§6165.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§6165.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§6165.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