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6168</w:t>
        <w:t xml:space="preserve">.  </w:t>
      </w:r>
      <w:r>
        <w:rPr>
          <w:b/>
        </w:rPr>
        <w:t xml:space="preserve">Required disclosures; risks of using virtual currency kiosks</w:t>
      </w:r>
    </w:p>
    <w:p>
      <w:pPr>
        <w:jc w:val="both"/>
        <w:spacing w:before="100" w:after="100"/>
        <w:ind w:start="360"/>
        <w:ind w:firstLine="360"/>
      </w:pPr>
      <w:r>
        <w:rPr/>
      </w:r>
      <w:r>
        <w:rPr/>
      </w:r>
      <w:r>
        <w:t xml:space="preserve">Before entering into a virtual currency kiosk transaction for, on behalf of or with a person, a virtual currency kiosk operator shall disclose in a clear, conspicuous and easily readable manner all material risks generally associated with virtual currency kiosk transactions, including the risk of fraud or loss and the exchange rates charged by the virtual currency kiosk operator for the purchase and sale of the virtual currency involved in the transaction.</w:t>
      </w:r>
      <w:r>
        <w:t xml:space="preserve">  </w:t>
      </w:r>
      <w:r xmlns:wp="http://schemas.openxmlformats.org/drawingml/2010/wordprocessingDrawing" xmlns:w15="http://schemas.microsoft.com/office/word/2012/wordml">
        <w:rPr>
          <w:rFonts w:ascii="Arial" w:hAnsi="Arial" w:cs="Arial"/>
          <w:sz w:val="22"/>
          <w:szCs w:val="22"/>
        </w:rPr>
        <w:t xml:space="preserve">[PL 2025, c. 285,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285,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§6168. Required disclosures; risks of using virtual currency kiosks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§6168. Required disclosures; risks of using virtual currency kiosks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§6168. REQUIRED DISCLOSURES; RISKS OF USING VIRTUAL CURRENCY KIOSKS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