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6169</w:t>
        <w:t xml:space="preserve">.  </w:t>
      </w:r>
      <w:r>
        <w:rPr>
          <w:b/>
        </w:rPr>
        <w:t xml:space="preserve">Consumer protections</w:t>
      </w:r>
    </w:p>
    <w:p>
      <w:pPr>
        <w:jc w:val="both"/>
        <w:spacing w:before="100" w:after="0"/>
        <w:ind w:start="360"/>
        <w:ind w:firstLine="360"/>
      </w:pPr>
      <w:r>
        <w:rPr>
          <w:b/>
        </w:rPr>
        <w:t>1</w:t>
        <w:t xml:space="preserve">.  </w:t>
      </w:r>
      <w:r>
        <w:rPr>
          <w:b/>
        </w:rPr>
        <w:t xml:space="preserve">Transaction limits; dollar amount.</w:t>
        <w:t xml:space="preserve"> </w:t>
      </w:r>
      <w:r>
        <w:t xml:space="preserve"> </w:t>
      </w:r>
      <w:r>
        <w:t xml:space="preserve">A virtual currency kiosk operator may not accept or dispense more than $1,000 in a day from or to a customer via a virtual currency kiosk owned by the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100"/>
        <w:ind w:start="360"/>
        <w:ind w:firstLine="360"/>
      </w:pPr>
      <w:r>
        <w:rPr>
          <w:b/>
        </w:rPr>
        <w:t>2</w:t>
        <w:t xml:space="preserve">.  </w:t>
      </w:r>
      <w:r>
        <w:rPr>
          <w:b/>
        </w:rPr>
        <w:t xml:space="preserve">Transaction charges.</w:t>
        <w:t xml:space="preserve"> </w:t>
      </w:r>
      <w:r>
        <w:t xml:space="preserve"> </w:t>
      </w:r>
      <w:r>
        <w:t xml:space="preserve">A virtual currency kiosk operator may not collect charges, whether direct or indirect, from a customer related to a single virtual currency kiosk transaction that exceed the greater of:</w:t>
      </w:r>
    </w:p>
    <w:p>
      <w:pPr>
        <w:jc w:val="both"/>
        <w:spacing w:before="100" w:after="0"/>
        <w:ind w:start="720"/>
      </w:pPr>
      <w:r>
        <w:rPr/>
        <w:t>A</w:t>
        <w:t xml:space="preserve">.  </w:t>
      </w:r>
      <w:r>
        <w:rPr/>
      </w:r>
      <w:r>
        <w:t xml:space="preserve">Five dollars; and</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B</w:t>
        <w:t xml:space="preserve">.  </w:t>
      </w:r>
      <w:r>
        <w:rPr/>
      </w:r>
      <w:r>
        <w:t xml:space="preserve">Three percent of the United States dollar value of the transaction.</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100"/>
        <w:ind w:start="360"/>
        <w:ind w:firstLine="360"/>
      </w:pPr>
      <w:r>
        <w:rPr>
          <w:b/>
        </w:rPr>
        <w:t>3</w:t>
        <w:t xml:space="preserve">.  </w:t>
      </w:r>
      <w:r>
        <w:rPr>
          <w:b/>
        </w:rPr>
        <w:t xml:space="preserve">Transaction receipt.</w:t>
        <w:t xml:space="preserve"> </w:t>
      </w:r>
      <w:r>
        <w:t xml:space="preserve"> </w:t>
      </w:r>
      <w:r>
        <w:t xml:space="preserve">At the option of a customer, a virtual currency kiosk operator shall provide the customer with a paper or electronic receipt for any transaction made at a virtual currency kiosk that includes the following information:</w:t>
      </w:r>
    </w:p>
    <w:p>
      <w:pPr>
        <w:jc w:val="both"/>
        <w:spacing w:before="100" w:after="0"/>
        <w:ind w:start="720"/>
      </w:pPr>
      <w:r>
        <w:rPr/>
        <w:t>A</w:t>
        <w:t xml:space="preserve">.  </w:t>
      </w:r>
      <w:r>
        <w:rPr/>
      </w:r>
      <w:r>
        <w:t xml:space="preserve">The name of the customer;</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B</w:t>
        <w:t xml:space="preserve">.  </w:t>
      </w:r>
      <w:r>
        <w:rPr/>
      </w:r>
      <w:r>
        <w:t xml:space="preserve">The date and time of the transaction;</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C</w:t>
        <w:t xml:space="preserve">.  </w:t>
      </w:r>
      <w:r>
        <w:rPr/>
      </w:r>
      <w:r>
        <w:t xml:space="preserve">The name and license number of the operator;</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D</w:t>
        <w:t xml:space="preserve">.  </w:t>
      </w:r>
      <w:r>
        <w:rPr/>
      </w:r>
      <w:r>
        <w:t xml:space="preserve">The amounts of fiat currency and virtual currency exchanged or purchased in the transaction and any fees charged to the customer;</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E</w:t>
        <w:t xml:space="preserve">.  </w:t>
      </w:r>
      <w:r>
        <w:rPr/>
      </w:r>
      <w:r>
        <w:t xml:space="preserve">The virtual currency transaction hash and the public destination address for the virtual currency; and</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F</w:t>
        <w:t xml:space="preserve">.  </w:t>
      </w:r>
      <w:r>
        <w:rPr/>
      </w:r>
      <w:r>
        <w:t xml:space="preserve">The exchange rate.</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100"/>
        <w:ind w:start="360"/>
        <w:ind w:firstLine="360"/>
      </w:pPr>
      <w:r>
        <w:rPr>
          <w:b/>
        </w:rPr>
        <w:t>4</w:t>
        <w:t xml:space="preserve">.  </w:t>
      </w:r>
      <w:r>
        <w:rPr>
          <w:b/>
        </w:rPr>
        <w:t xml:space="preserve">Refunds for customers.</w:t>
        <w:t xml:space="preserve"> </w:t>
      </w:r>
      <w:r>
        <w:t xml:space="preserve"> </w:t>
      </w:r>
      <w:r>
        <w:t xml:space="preserve">A virtual currency kiosk operator shall issue a refund to a customer for the full amount of all transactions made within 90 days of the customer's first virtual currency kiosk transaction with the virtual currency kiosk operator including any transaction charges collected under </w:t>
      </w:r>
      <w:r>
        <w:t>subsection 2</w:t>
      </w:r>
      <w:r>
        <w:t xml:space="preserve">. To receive a refund under this subsection, a customer must:</w:t>
      </w:r>
    </w:p>
    <w:p>
      <w:pPr>
        <w:jc w:val="both"/>
        <w:spacing w:before="100" w:after="0"/>
        <w:ind w:start="720"/>
      </w:pPr>
      <w:r>
        <w:rPr/>
        <w:t>A</w:t>
        <w:t xml:space="preserve">.  </w:t>
      </w:r>
      <w:r>
        <w:rPr/>
      </w:r>
      <w:r>
        <w:t xml:space="preserve">Have been induced to engage in the virtual currency kiosk transactions by fraud or by an unfair, deceptive or abusive practice; and</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720"/>
      </w:pPr>
      <w:r>
        <w:rPr/>
        <w:t>B</w:t>
        <w:t xml:space="preserve">.  </w:t>
      </w:r>
      <w:r>
        <w:rPr/>
      </w:r>
      <w:r>
        <w:t xml:space="preserve">Within one year of the last transaction induced by fraud or by an unfair, deceptive or abusive practice, file a report with a government or law enforcement agency that includes a sworn statement attesting to the details of the fraud or unfair, deceptive or abusive practice and information sufficient to identify the virtual currency kiosk transactions subject to a refund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§6169. Consumer protections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§6169. Consumer protections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§6169. CONSUMER PROTECTIONS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