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6215</w:t>
        <w:t xml:space="preserve">.  </w:t>
      </w:r>
      <w:r>
        <w:rPr>
          <w:b/>
        </w:rPr>
        <w:t xml:space="preserve">Application; fees</w:t>
      </w:r>
    </w:p>
    <w:p>
      <w:pPr>
        <w:jc w:val="both"/>
        <w:spacing w:before="100" w:after="100"/>
        <w:ind w:start="360"/>
        <w:ind w:firstLine="360"/>
      </w:pPr>
      <w:r>
        <w:rPr/>
      </w:r>
      <w:r>
        <w:rPr/>
      </w:r>
      <w:r>
        <w:t xml:space="preserve">The Director of the Office of Professional and Occupational Regulation within the Department of Professional and Financial Regulation may establish by rule fees for purposes authorized under this subchapter in amounts that are reasonable and necessary for their respective purposes, except that the fee for any one purpose may not exceed $200 annually.  Rules adopted pursuant to this section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U, §9 (AMD); PL 2011, c. 286, Pt. B,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1983, c. 204, §12 (AMD). PL 1983, c. 413, §217 (RPR). PL 1987, c. 395, §A207 (RPR). PL 1989, c. 831, §8 (AMD). PL 1991, c. 456, §26 (AMD). PL 1995, c. 394, §20 (AMD). PL 1995, c. 502, §H38 (AMD). PL 1999, c. 386, §R2 (AMD). PL 1999, c. 685, §18 (AMD). PL 2003, c. 347, §17 (AMD). PL 2003, c. 347, §25 (AFF). PL 2007, c. 402, Pt. U, §9 (AMD). PL 2011, c. 286, Pt. B,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§6215. Application;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§6215. Application;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§6215. APPLICATION;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