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w:t>
        <w:t xml:space="preserve">.  </w:t>
      </w:r>
      <w:r>
        <w:rPr>
          <w:b/>
        </w:rPr>
        <w:t xml:space="preserve">Unlicensed practice</w:t>
      </w:r>
    </w:p>
    <w:p>
      <w:pPr>
        <w:jc w:val="both"/>
        <w:spacing w:before="100" w:after="100"/>
        <w:ind w:start="360"/>
        <w:ind w:firstLine="360"/>
      </w:pPr>
      <w:r>
        <w:rPr/>
      </w:r>
      <w:r>
        <w:rPr/>
      </w:r>
      <w:r>
        <w:t xml:space="preserve">An individual who violates </w:t>
      </w:r>
      <w:r>
        <w:t>section 61</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E,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§68.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