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Creation; conveyance; acceptance; duration</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Except as otherwise provided in this chapter, an affordable housing covenant may be created, conveyed, recorded, assigned, released, modified, terminated or otherwise altered or affected in the same manner as other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an affordable housing covenant unless it is accepted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chapter, an affordable housing covenant is unlimited in duration unless:</w:t>
      </w:r>
    </w:p>
    <w:p>
      <w:pPr>
        <w:jc w:val="both"/>
        <w:spacing w:before="100" w:after="0"/>
        <w:ind w:start="720"/>
      </w:pPr>
      <w:r>
        <w:rPr/>
        <w:t>A</w:t>
        <w:t xml:space="preserve">.  </w:t>
      </w:r>
      <w:r>
        <w:rPr/>
      </w:r>
      <w:r>
        <w:t xml:space="preserve">The instrument creating it provides otherwise;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change of circumstances renders the affordable housing covenant no longer in the public interest as determined in an action under </w:t>
      </w:r>
      <w:r>
        <w:t>section 123,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that an affordable housing covenant is created is not impaired by the affordable housing covenant unless the owner of the interest is a party to the affordable housing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Right to enter land.</w:t>
        <w:t xml:space="preserve"> </w:t>
      </w:r>
      <w:r>
        <w:t xml:space="preserve"> </w:t>
      </w:r>
      <w:r>
        <w:t xml:space="preserve">The instrument creating an affordable housing covenant must designate the manner in which and the times when representatives of the holder of an affordable housing covenant are entitled to enter the real property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Creation; conveyance; acceptance;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Creation; conveyance; acceptance;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§122. CREATION; CONVEYANCE; ACCEPTANCE;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