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w:t>
        <w:t xml:space="preserve">.  </w:t>
      </w:r>
      <w:r>
        <w:rPr>
          <w:b/>
        </w:rPr>
        <w:t xml:space="preserve">Application</w:t>
      </w:r>
    </w:p>
    <w:p>
      <w:pPr>
        <w:jc w:val="both"/>
        <w:spacing w:before="100" w:after="0"/>
        <w:ind w:start="360"/>
        <w:ind w:firstLine="360"/>
      </w:pPr>
      <w:r>
        <w:rPr>
          <w:b/>
        </w:rPr>
        <w:t>1</w:t>
        <w:t xml:space="preserve">.  </w:t>
      </w:r>
      <w:r>
        <w:rPr>
          <w:b/>
        </w:rPr>
        <w:t xml:space="preserve">Interest created after effective date.</w:t>
        <w:t xml:space="preserve"> </w:t>
      </w:r>
      <w:r>
        <w:t xml:space="preserve"> </w:t>
      </w:r>
      <w:r>
        <w:t xml:space="preserve">This chapter applies to any interest that complies with this chapter created after the effective date of this chapter, whether designated as a working waterfront covenant or an equitable servitude, restriction, easement or other interest in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2</w:t>
        <w:t xml:space="preserve">.  </w:t>
      </w:r>
      <w:r>
        <w:rPr>
          <w:b/>
        </w:rPr>
        <w:t xml:space="preserve">Working waterfront covenant created before effective date.</w:t>
        <w:t xml:space="preserve"> </w:t>
      </w:r>
      <w:r>
        <w:t xml:space="preserve"> </w:t>
      </w:r>
      <w:r>
        <w:t xml:space="preserve">This chapter applies to any working waterfront covenant created before the effective date of this chapter if the working waterfront covenant would have been enforceable had it been created after the effective date of this chapter, unless retroactive application contravenes the Constitution of Maine or the United States Constitution.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3</w:t>
        <w:t xml:space="preserve">.  </w:t>
      </w:r>
      <w:r>
        <w:rPr>
          <w:b/>
        </w:rPr>
        <w:t xml:space="preserve">Chapter does not invalidate interest.</w:t>
        <w:t xml:space="preserve"> </w:t>
      </w:r>
      <w:r>
        <w:t xml:space="preserve"> </w:t>
      </w:r>
      <w:r>
        <w:t xml:space="preserve">This chapter does not invalidate any interest, whether designated as a working waterfront covenant or an equitable servitude, restriction, easement or other interest in real estate, that is otherwise enforceable under other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§136.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