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2053</w:t>
        <w:t xml:space="preserve">.  </w:t>
      </w:r>
      <w:r>
        <w:rPr>
          <w:b/>
        </w:rPr>
        <w:t xml:space="preserve">Inapplicability to foreign transaction</w:t>
      </w:r>
    </w:p>
    <w:p>
      <w:pPr>
        <w:jc w:val="both"/>
        <w:spacing w:before="100" w:after="100"/>
        <w:ind w:start="360"/>
        <w:ind w:firstLine="360"/>
      </w:pPr>
      <w:r>
        <w:rPr/>
      </w:r>
      <w:r>
        <w:rPr/>
      </w:r>
      <w:r>
        <w:t xml:space="preserve">This Act does not apply to property held, due and owing in a foreign country if the transaction out of which the property arose was a wholly foreign transaction.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§2053. Inapplicability to foreign transaction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§2053. Inapplicability to foreign transaction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§2053. INAPPLICABILITY TO FOREIGN TRANSACTION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