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2134</w:t>
        <w:t xml:space="preserve">.  </w:t>
      </w:r>
      <w:r>
        <w:rPr>
          <w:b/>
        </w:rPr>
        <w:t xml:space="preserve">Purchaser owns property after sale</w:t>
      </w:r>
    </w:p>
    <w:p>
      <w:pPr>
        <w:jc w:val="both"/>
        <w:spacing w:before="100" w:after="100"/>
        <w:ind w:start="360"/>
        <w:ind w:firstLine="360"/>
      </w:pPr>
      <w:r>
        <w:rPr/>
      </w:r>
      <w:r>
        <w:rPr/>
      </w:r>
      <w:r>
        <w:t xml:space="preserve">A purchaser of property at a sale conducted by the administrator under this Act takes the property free of all claims of the owner, a previous holder or a person claiming through the owner or holder.  The administrator shall execute documents necessary to complete the transfer of ownership to the purchaser.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§2134. Purchaser owns property after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§2134. Purchaser owns property after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§2134. PURCHASER OWNS PROPERTY AFTER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