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Administrator holds property as custodian for owner</w:t>
      </w:r>
    </w:p>
    <w:p>
      <w:pPr>
        <w:jc w:val="both"/>
        <w:spacing w:before="100" w:after="100"/>
        <w:ind w:start="360"/>
        <w:ind w:firstLine="360"/>
      </w:pPr>
      <w:r>
        <w:rPr/>
      </w:r>
      <w:r>
        <w:rPr/>
      </w:r>
      <w:r>
        <w:t xml:space="preserve">Except as provided in </w:t>
      </w:r>
      <w:r>
        <w:t>section 2072</w:t>
      </w:r>
      <w:r>
        <w:t xml:space="preserve">, property received by the administrator under this Act is held in custody for the benefit of the owner and is not owned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§2144. Administrator holds property as custodian for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Administrator holds property as custodian for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§2144. ADMINISTRATOR HOLDS PROPERTY AS CUSTODIAN FOR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