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Finance -- Article 8</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§9908. Finance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Finance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§9908. FINANCE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