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w:t>
        <w:t xml:space="preserve">.  </w:t>
      </w:r>
      <w:r>
        <w:rPr>
          <w:b/>
        </w:rPr>
        <w:t xml:space="preserve">Unnatural death of resident</w:t>
      </w:r>
    </w:p>
    <w:p>
      <w:pPr>
        <w:jc w:val="both"/>
        <w:spacing w:before="100" w:after="100"/>
        <w:ind w:start="360"/>
        <w:ind w:firstLine="360"/>
      </w:pPr>
      <w:r>
        <w:rPr/>
      </w:r>
      <w:r>
        <w:rPr/>
      </w:r>
      <w:r>
        <w:t xml:space="preserve">When the death of any resident in a state institution is not clearly the result of natural causes, an examination and inquest shall be held as in other cases, and the commissioner or the chief administrative officer of the institution shall cause a medical examiner to be immediately notified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 Unnatural death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 Unnatural death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§1435. UNNATURAL DEATH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