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1989, c. 501, §BB4 (AMD). PL 1993, c. 410, §§CCC21,22 (AMD). PL 1995, c. 560, §K35 (AMD). PL 2005, c. 236, §§3,4 (REV). PL 2007, c. 539, Pt. N, §67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§3202.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