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§3862. Protective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Protective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§3862. PROTECTIVE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