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77</w:t>
      </w:r>
    </w:p>
    <w:p>
      <w:pPr>
        <w:jc w:val="center"/>
        <w:ind w:start="360"/>
        <w:spacing w:before="300" w:after="300"/>
      </w:pPr>
      <w:r>
        <w:rPr>
          <w:b/>
        </w:rPr>
        <w:t xml:space="preserve">EMERGENCY USE OF TELEPHONE PARTY LINES</w:t>
      </w:r>
    </w:p>
    <w:p>
      <w:pPr>
        <w:jc w:val="both"/>
        <w:spacing w:before="100" w:after="100"/>
        <w:ind w:start="1080" w:hanging="720"/>
      </w:pPr>
      <w:r>
        <w:rPr>
          <w:b/>
        </w:rPr>
        <w:t>§</w:t>
        <w:t>7701</w:t>
        <w:t xml:space="preserve">.  </w:t>
      </w:r>
      <w:r>
        <w:rPr>
          <w:b/>
        </w:rPr>
        <w:t xml:space="preserve">Emergency use of party lines; refusal to surrender; penalty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2003, c. 452, §T1 (AMD). PL 2003, c. 452, §X2 (AFF). PL 2011, c. 623, Pt. C, §7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77. EMERGENCY USE OF TELEPHONE PARTY LINES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77. EMERGENCY USE OF TELEPHONE PARTY LINES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Chapter 77. EMERGENCY USE OF TELEPHONE PARTY LINES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