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Burden of proof</w:t>
      </w:r>
    </w:p>
    <w:p>
      <w:pPr>
        <w:jc w:val="both"/>
        <w:spacing w:before="100" w:after="0"/>
        <w:ind w:start="360"/>
        <w:ind w:firstLine="360"/>
      </w:pPr>
      <w:r>
        <w:rPr>
          <w:b/>
        </w:rPr>
        <w:t>1</w:t>
        <w:t xml:space="preserve">.  </w:t>
      </w:r>
      <w:r>
        <w:rPr>
          <w:b/>
        </w:rPr>
        <w:t xml:space="preserve">Party adverse to the commission.</w:t>
        <w:t xml:space="preserve"> </w:t>
      </w:r>
      <w:r>
        <w:t xml:space="preserve"> </w:t>
      </w:r>
      <w:r>
        <w:t xml:space="preserve">In all trials, actions and proceedings arising under this Title or growing out of the exercise of the authority granted to the commission, the burden of proof is on the party adverse to the commission or seeking to set aside any determination, requirement, direction or order of the commission complained of as unreasonable, unjust or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Public utilities.</w:t>
        <w:t xml:space="preserve"> </w:t>
      </w:r>
      <w:r>
        <w:t xml:space="preserve"> </w:t>
      </w:r>
      <w:r>
        <w:t xml:space="preserve">In all original proceedings before the commission where an increase in rates, tolls, charges, schedules or joint rate is complained of, the burden of proof is on the public utility to show that the increase is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§1314.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