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Comprehensive classification of service</w:t>
      </w:r>
    </w:p>
    <w:p>
      <w:pPr>
        <w:jc w:val="both"/>
        <w:spacing w:before="100" w:after="100"/>
        <w:ind w:start="360"/>
        <w:ind w:firstLine="360"/>
      </w:pPr>
      <w:r>
        <w:rPr/>
      </w:r>
      <w:r>
        <w:rPr/>
      </w:r>
      <w:r>
        <w:t xml:space="preserve">The commission shall provide for a comprehensive classification of service for each public utility.  The classification may take into account the quantity used, the time when used, the purpose for which used and any other reasonable consideration.  Each public utility shall conform its schedules of rates, tolls and charges to the classification.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 Comprehensive classification of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Comprehensive classification of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§311. COMPREHENSIVE CLASSIFICATION OF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