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§3137. Area within which domestic transmission and distribution utility may transmit electricity; taxation by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Area within which domestic transmission and distribution utility may transmit electricity; taxation by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§3137. AREA WITHIN WHICH DOMESTIC TRANSMISSION AND DISTRIBUTION UTILITY MAY TRANSMIT ELECTRICITY; TAXATION BY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