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Title</w:t>
      </w:r>
    </w:p>
    <w:p>
      <w:pPr>
        <w:jc w:val="both"/>
        <w:spacing w:before="100" w:after="100"/>
        <w:ind w:start="360"/>
        <w:ind w:firstLine="360"/>
      </w:pPr>
      <w:r>
        <w:rPr/>
      </w:r>
      <w:r>
        <w:rPr/>
      </w:r>
      <w:r>
        <w:t xml:space="preserve">This subchapter shall be known and may be cited as the "Electric Rate Reform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§3151.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