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3210-F</w:t>
        <w:t xml:space="preserve">.  </w:t>
      </w:r>
      <w:r>
        <w:rPr>
          <w:b/>
        </w:rPr>
        <w:t xml:space="preserve">Allocation of costs and benefits of long-term energy contracts</w:t>
      </w:r>
    </w:p>
    <w:p>
      <w:pPr>
        <w:jc w:val="both"/>
        <w:spacing w:before="100" w:after="100"/>
        <w:ind w:start="360"/>
        <w:ind w:firstLine="360"/>
      </w:pPr>
      <w:r>
        <w:rPr/>
      </w:r>
      <w:r>
        <w:rPr/>
      </w:r>
      <w:r>
        <w:t xml:space="preserve">The commission shall ensure that all eligible costs and benefits associated with a long-term energy contract are allocated to ratepayers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and benefits" means the net amount of all costs and direct financial benefits associated with long-term energy contracts entered into by investor-owned transmission and distribution utilities, including but not limited to any effects on a utility's cost of capital as a result of these contracts.</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w:pPr>
        <w:jc w:val="both"/>
        <w:spacing w:before="100" w:after="0"/>
        <w:ind w:start="720"/>
      </w:pPr>
      <w:r>
        <w:rPr/>
        <w:t>B</w:t>
        <w:t xml:space="preserve">.  </w:t>
      </w:r>
      <w:r>
        <w:rPr/>
      </w:r>
      <w:r>
        <w:t xml:space="preserve">"Long-term energy contract" means a contract with an investor-owned transmission and distribution utility entered into under </w:t>
      </w:r>
      <w:r>
        <w:t>section 3210‑C</w:t>
      </w:r>
      <w:r>
        <w:t xml:space="preserve"> or </w:t>
      </w:r>
      <w:r>
        <w:t>section 3604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2</w:t>
        <w:t xml:space="preserve">.  </w:t>
      </w:r>
      <w:r>
        <w:rPr>
          <w:b/>
        </w:rPr>
        <w:t xml:space="preserve">Eligible costs and benefits.</w:t>
        <w:t xml:space="preserve"> </w:t>
      </w:r>
      <w:r>
        <w:t xml:space="preserve"> </w:t>
      </w:r>
      <w:r>
        <w:t xml:space="preserve">The commission shall determine the eligible costs and benefits of a long-term energy contract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3</w:t>
        <w:t xml:space="preserve">.  </w:t>
      </w:r>
      <w:r>
        <w:rPr>
          <w:b/>
        </w:rPr>
        <w:t xml:space="preserve">Allocation of eligible costs and benefits.</w:t>
        <w:t xml:space="preserve"> </w:t>
      </w:r>
      <w:r>
        <w:t xml:space="preserve"> </w:t>
      </w:r>
      <w:r>
        <w:t xml:space="preserve">The commission shall annually allocate to each investor-owned transmission and distribution utility its pro rata share of eligible costs and benefits as determined under </w:t>
      </w:r>
      <w:r>
        <w:t>subsection 2</w:t>
      </w:r>
      <w:r>
        <w:t xml:space="preserve">.  The allocation must be based on each utility's total retail kilowatt-hour energy sales to ratepayers that receive the benefits and pay the costs of long-term energy contracts. The commission may determine the means to be used for the allocation required under this section, which may include the direct transfer of funds between investor-owned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§3210-F. Allocation of costs and benefits of long-term energy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§3210-F. Allocation of costs and benefits of long-term energy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§3210-F. ALLOCATION OF COSTS AND BENEFITS OF LONG-TERM ENERGY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