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§3452. Determination of effect on scenic character and related existing uses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§3452. Determination of effect on scenic character and related existing uses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§3452. DETERMINATION OF EFFECT ON SCENIC CHARACTER AND RELATED EXISTING USES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