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§3905. Existing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Existing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§3905. EXISTING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