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6806</w:t>
        <w:t xml:space="preserve">.  </w:t>
      </w:r>
      <w:r>
        <w:rPr>
          <w:b/>
        </w:rPr>
        <w:t xml:space="preserve">Staff</w:t>
      </w:r>
    </w:p>
    <w:p>
      <w:pPr>
        <w:jc w:val="both"/>
        <w:spacing w:before="100" w:after="100"/>
        <w:ind w:start="360"/>
        <w:ind w:firstLine="360"/>
      </w:pPr>
      <w:r>
        <w:rPr/>
      </w:r>
      <w:r>
        <w:rPr/>
      </w:r>
      <w:r>
        <w:t xml:space="preserve">A regional water council may employ staff and consult and retain experts that it considers necessary.</w:t>
      </w:r>
      <w:r>
        <w:t xml:space="preserve">  </w:t>
      </w:r>
      <w:r xmlns:wp="http://schemas.openxmlformats.org/drawingml/2010/wordprocessingDrawing" xmlns:w15="http://schemas.microsoft.com/office/word/2012/wordml">
        <w:rPr>
          <w:rFonts w:ascii="Arial" w:hAnsi="Arial" w:cs="Arial"/>
          <w:sz w:val="22"/>
          <w:szCs w:val="22"/>
        </w:rPr>
        <w:t xml:space="preserve">[PL 2005, c. 209,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§6806.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§6806.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§6806.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