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Validity of securities issued pursuant to order of commission</w:t>
      </w:r>
    </w:p>
    <w:p>
      <w:pPr>
        <w:jc w:val="both"/>
        <w:spacing w:before="100" w:after="100"/>
        <w:ind w:start="360"/>
        <w:ind w:firstLine="360"/>
      </w:pPr>
      <w:r>
        <w:rPr/>
      </w:r>
      <w:r>
        <w:rPr/>
      </w:r>
      <w:r>
        <w:t xml:space="preserve">Any stocks, bonds, notes or other evidences of indebtedness issued or sold pursuant to or in reliance on and in accordance with any order, authorization or decision of the commission pursuant to this chapter, and at least 5 business days after the date of the order, authorization or decision, shall be valid, binding and enforceable in accordance with their terms, including the terms of any agreement, instrument or document under or pursuant to which the stocks, bonds, notes or other evidences of indebtedness are issued, notwithstanding that the order, authorization or decision of the commission is later vacated, modified or otherwise held to be wholly or partly invalid, whether by the commission upon a petition for rehearing or reopening, or otherwise, or by a court, unless operation of the order, authorization or decision of the commission has been stayed or suspended by the commission or a court of competent jurisdiction prior to the issuance of the stocks,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§905. Validity of securities issued pursuant to order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Validity of securities issued pursuant to order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§905. VALIDITY OF SECURITIES ISSUED PURSUANT TO ORDER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