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w:t>
        <w:t xml:space="preserve">.  </w:t>
      </w:r>
      <w:r>
        <w:rPr>
          <w:b/>
        </w:rPr>
        <w:t xml:space="preserve">Management audit</w:t>
      </w:r>
    </w:p>
    <w:p>
      <w:pPr>
        <w:jc w:val="both"/>
        <w:spacing w:before="100" w:after="100"/>
        <w:ind w:start="360"/>
      </w:pPr>
      <w:r>
        <w:rPr>
          <w:b/>
        </w:rPr>
        <w:t>(REPEALED)</w:t>
      </w:r>
    </w:p>
    <w:p>
      <w:pPr>
        <w:jc w:val="both"/>
        <w:spacing w:before="100" w:after="100"/>
        <w:ind w:start="360"/>
      </w:pPr>
      <w:r>
        <w:rPr>
          <w:b w:val="true"/>
          <w:i/>
          <w:caps w:val="true"/>
        </w:rPr>
        <w:t xml:space="preserve">Revisor's Note: </w:t>
      </w:r>
      <w:r>
        <w:t>§18. Reimbursement fund (As enacted by PL 1983, c. 229 is REALLOCATED TO TITLE 35, SECTION 19)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213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 Management audit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 Management audit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§18. MANAGEMENT AUDIT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