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§1106-A. VALUATION OF OPEN SPACE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