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Program monitoring</w:t>
      </w:r>
    </w:p>
    <w:p>
      <w:pPr>
        <w:jc w:val="both"/>
        <w:spacing w:before="100" w:after="100"/>
        <w:ind w:start="360"/>
        <w:ind w:firstLine="360"/>
      </w:pPr>
      <w:r>
        <w:rPr/>
      </w:r>
      <w:r>
        <w:rPr/>
      </w:r>
      <w:r>
        <w:t xml:space="preserve">The Department of Agriculture, Conservation and Forestry and the Bureau of Revenue Services shall periodically review the level of participation in the farm and open space tax program, the taxes saved due to that participation, the fiscal impact, if any, on municipalities, including the impact of any penalties assessed under </w:t>
      </w:r>
      <w:r>
        <w:t>section 1112‑C</w:t>
      </w:r>
      <w:r>
        <w:t xml:space="preserve"> and the effectiveness of the program in preserving farmland and open space.  The department and the bureau may report to the joint standing committee of the Legislature having jurisdiction over taxation matters on the status of the program.  The department and the bureau may identify problems that prevent realization of the purposes of this subchapter and potential solutions to remedy those problems.</w:t>
      </w:r>
      <w:r>
        <w:t xml:space="preserve">  </w:t>
      </w:r>
      <w:r xmlns:wp="http://schemas.openxmlformats.org/drawingml/2010/wordprocessingDrawing" xmlns:w15="http://schemas.microsoft.com/office/word/2012/wordml">
        <w:rPr>
          <w:rFonts w:ascii="Arial" w:hAnsi="Arial" w:cs="Arial"/>
          <w:sz w:val="22"/>
          <w:szCs w:val="22"/>
        </w:rPr>
        <w:t xml:space="preserve">[PL 2021, c. 630, Pt. C,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§3 (AMD). PL 1997, c. 526, §14 (AMD). PL 2001, c. 652, §9 (AMD). PL 2011, c. 657, Pt. W, §5 (REV). PL 2021, c. 630, Pt. C,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 Program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Program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§1121. PROGRAM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