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§1495. Proration of registration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Proration of registration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§1495. PRORATION OF REGISTRATION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