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1499</w:t>
        <w:t xml:space="preserve">.  </w:t>
      </w:r>
      <w:r>
        <w:rPr>
          <w:b/>
        </w:rPr>
        <w:t xml:space="preserve">Ratification</w:t>
      </w:r>
    </w:p>
    <w:p>
      <w:pPr>
        <w:jc w:val="both"/>
        <w:spacing w:before="100" w:after="100"/>
        <w:ind w:start="360"/>
        <w:ind w:firstLine="360"/>
      </w:pPr>
      <w:r>
        <w:rPr/>
      </w:r>
      <w:r>
        <w:rPr/>
      </w:r>
      <w:r>
        <w:t xml:space="preserve">The Bus Taxation Proration Agreement is enacted into law and entered into with all jurisdictions legally joining therein in the form substantially as provided in this subchapter.</w:t>
      </w:r>
      <w:r>
        <w:t xml:space="preserve">  </w:t>
      </w:r>
      <w:r xmlns:wp="http://schemas.openxmlformats.org/drawingml/2010/wordprocessingDrawing" xmlns:w15="http://schemas.microsoft.com/office/word/2012/wordml">
        <w:rPr>
          <w:rFonts w:ascii="Arial" w:hAnsi="Arial" w:cs="Arial"/>
          <w:sz w:val="22"/>
          <w:szCs w:val="22"/>
        </w:rPr>
        <w:t xml:space="preserve">[PL 1993, c. 683, Pt. B, §3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§B3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§1499. Ratification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§1499. Ratification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§1499. RATIFICATION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