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Public reserved lots held for payment of taxes</w:t>
      </w:r>
    </w:p>
    <w:p>
      <w:pPr>
        <w:jc w:val="both"/>
        <w:spacing w:before="100" w:after="100"/>
        <w:ind w:start="360"/>
        <w:ind w:firstLine="360"/>
      </w:pPr>
      <w:r>
        <w:rPr/>
      </w:r>
      <w:r>
        <w:rPr/>
      </w:r>
      <w:r>
        <w:t xml:space="preserve">The timber and grass claimed on the public reserved lots shall be held to the State for the payment of those taxes which may be lawfully assessed against them.</w:t>
      </w:r>
      <w:r>
        <w:t xml:space="preserve">  </w:t>
      </w:r>
      <w:r xmlns:wp="http://schemas.openxmlformats.org/drawingml/2010/wordprocessingDrawing" xmlns:w15="http://schemas.microsoft.com/office/word/2012/wordml">
        <w:rPr>
          <w:rFonts w:ascii="Arial" w:hAnsi="Arial" w:cs="Arial"/>
          <w:sz w:val="22"/>
          <w:szCs w:val="22"/>
        </w:rPr>
        <w:t xml:space="preserve">[PL 1977, c. 679,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§259 (AMD). PL 1977, c. 679,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§1541. Public reserved lots held for 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Public reserved lots held for 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§1541. PUBLIC RESERVED LOTS HELD FOR 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