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2018</w:t>
        <w:t xml:space="preserve">.  </w:t>
      </w:r>
      <w:r>
        <w:rPr>
          <w:b/>
        </w:rPr>
        <w:t xml:space="preserve">Reimbursement of certain taxes relating to advanced communications technology infrastructure</w:t>
      </w:r>
    </w:p>
    <w:p>
      <w:pPr>
        <w:jc w:val="both"/>
        <w:spacing w:before="100" w:after="100"/>
        <w:ind w:start="360"/>
      </w:pPr>
      <w:r>
        <w:rPr>
          <w:b/>
        </w:rPr>
        <w:t>(REALLOCATED FROM TITLE 36, SECTION 2017)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§61 (RAL). MRSA T. 36 §2018,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§2018. Reimbursement of certain taxes relating to advanced communications technology infrastructure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§2018. Reimbursement of certain taxes relating to advanced communications technology infrastructure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§2018. REIMBURSEMENT OF CERTAIN TAXES RELATING TO ADVANCED COMMUNICATIONS TECHNOLOGY INFRASTRUCTURE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