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Refund of sales and use tax on purchases of battery energy storage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Refund of sales and use tax on purchases of battery energy storage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§2021. REFUND OF SALES AND USE TAX ON PURCHASES OF BATTERY ENERGY STORAGE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