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§2521-A. Returns;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§2521-A. Returns;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§2521-A. RETURNS;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