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w:t>
        <w:t xml:space="preserve">.  </w:t>
      </w:r>
      <w:r>
        <w:rPr>
          <w:b/>
        </w:rPr>
        <w:t xml:space="preserve">Power and authority of domestic companies</w:t>
      </w:r>
    </w:p>
    <w:p>
      <w:pPr>
        <w:jc w:val="both"/>
        <w:spacing w:before="100" w:after="100"/>
        <w:ind w:start="360"/>
        <w:ind w:firstLine="360"/>
      </w:pPr>
      <w:r>
        <w:rPr/>
      </w:r>
      <w:r>
        <w:rPr/>
      </w:r>
      <w:r>
        <w:t xml:space="preserve">Every domestic insurance company and its officers, directors and agents and employees shall have power and authority to comply with any statute, ordinance or other law of any state, territory or political subdivision thereof, including the District of Columbia, imposing any license, excise, privilege, occupation, premium or other tax or fee or deposit requirement. No such company, officer, director, employee or agent shall be subject to liability by reason of any such compliance or payment either heretofore or hereafter made, if at a later date the Supreme Court of the United States declares such tax or deposit to be unconstitutional.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§2521. Power and authority of domestic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 Power and authority of domestic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§2521. POWER AND AUTHORITY OF DOMESTIC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