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Appeals of adjusted municipal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§272-A. APPEALS OF ADJUSTED MUNICIPAL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