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3218-A</w:t>
        <w:t xml:space="preserve">.  </w:t>
      </w:r>
      <w:r>
        <w:rPr>
          <w:b/>
        </w:rPr>
        <w:t xml:space="preserve">Refunds of tax for fuel used by railroads</w:t>
      </w:r>
    </w:p>
    <w:p>
      <w:pPr>
        <w:jc w:val="both"/>
        <w:spacing w:before="100" w:after="100"/>
        <w:ind w:start="360"/>
        <w:ind w:firstLine="360"/>
      </w:pPr>
      <w:r>
        <w:rPr/>
      </w:r>
      <w:r>
        <w:rPr/>
      </w:r>
      <w:r>
        <w:t xml:space="preserve">Beginning July 1, 2004, the assessor shall monitor the amount of refunds paid under </w:t>
      </w:r>
      <w:r>
        <w:t>section 3218</w:t>
      </w:r>
      <w:r>
        <w:t xml:space="preserve"> for fuel consumed by vehicles operating on rails and monitor the amount of use tax paid on fuel consumed by vehicles operating on rails under </w:t>
      </w:r>
      <w:r>
        <w:t>chapter 215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498,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498, §10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§3218-A. Refunds of tax for fuel used by railroads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§3218-A. Refunds of tax for fuel used by railroads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§3218-A. REFUNDS OF TAX FOR FUEL USED BY RAILROADS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