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Certification of treasurer and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§341. CERTIFICATION OF TREASURER AND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