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§4107. TAX DUE DATE; FILING OF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