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4365-F</w:t>
        <w:t xml:space="preserve">.  </w:t>
      </w:r>
      <w:r>
        <w:rPr>
          <w:b/>
        </w:rPr>
        <w:t xml:space="preserve">Application of cigarette tax rate increase effective September 19, 2005</w:t>
      </w:r>
    </w:p>
    <w:p>
      <w:pPr>
        <w:jc w:val="both"/>
        <w:spacing w:before="100" w:after="100"/>
        <w:ind w:start="1080" w:hanging="720"/>
      </w:pPr>
      <w:r>
        <w:rPr>
          <w:b/>
        </w:rPr>
        <w:t>(CONFLICT)</w:t>
      </w:r>
    </w:p>
    <w:p>
      <w:pPr>
        <w:jc w:val="both"/>
        <w:spacing w:before="100" w:after="100"/>
        <w:ind w:start="1080" w:hanging="720"/>
      </w:pPr>
      <w:r>
        <w:rPr>
          <w:b/>
        </w:rPr>
        <w:t>(CONTAINS TEXT WITH VARYING EFFECTIVE DATES)</w:t>
      </w:r>
    </w:p>
    <w:p>
      <w:pPr>
        <w:jc w:val="both"/>
        <w:spacing w:before="100" w:after="100"/>
        <w:ind w:start="360"/>
      </w:pPr>
      <w:r>
        <w:rPr>
          <w:b/>
        </w:rPr>
        <w:t>(WHOLE SECTION TEXT REPEALED 1/05/26)</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457, §AA3 (NEW). PL 2005, c. 457, §AA8 (AFF). PL 2025, c. 388, Pt. E, §2 (RP). PL 2025, c. 388, Pt. E,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§4365-F. Application of cigarette tax rate increase effective September 19, 2005</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§4365-F. Application of cigarette tax rate increase effective September 19, 2005</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§4365-F. APPLICATION OF CIGARETTE TAX RATE INCREASE EFFECTIVE SEPTEMBER 19, 2005</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