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4641-N</w:t>
        <w:t xml:space="preserve">.  </w:t>
      </w:r>
      <w:r>
        <w:rPr>
          <w:b/>
        </w:rPr>
        <w:t xml:space="preserve">Review</w:t>
      </w:r>
    </w:p>
    <w:p>
      <w:pPr>
        <w:jc w:val="both"/>
        <w:spacing w:before="100" w:after="100"/>
        <w:ind w:start="360"/>
        <w:ind w:firstLine="360"/>
      </w:pPr>
      <w:r>
        <w:rPr/>
      </w:r>
      <w:r>
        <w:rPr/>
      </w:r>
      <w:r>
        <w:t xml:space="preserve">The Maine State Housing Authority shall submit a report to the joint standing committee of the Legislature having jurisdiction over housing matters by April 1st of each year.  The report must identify the amount of revenues under this chapter that have been credited to the Housing Opportunities for Maine Fund and the manner in which those funds have been used.  The report must provide a full accounting of how funds were spent in the prior fiscal year and a detailed summary of how funds were spent in the prior 10 fiscal years.</w:t>
      </w:r>
      <w:r>
        <w:t xml:space="preserve">  </w:t>
      </w:r>
      <w:r xmlns:wp="http://schemas.openxmlformats.org/drawingml/2010/wordprocessingDrawing" xmlns:w15="http://schemas.microsoft.com/office/word/2012/wordml">
        <w:rPr>
          <w:rFonts w:ascii="Arial" w:hAnsi="Arial" w:cs="Arial"/>
          <w:sz w:val="22"/>
          <w:szCs w:val="22"/>
        </w:rPr>
        <w:t xml:space="preserve">[PL 2023, c. 251,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381, §3 (NEW). PL 2023, c. 251,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§4641-N.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§4641-N.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§4641-N.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