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5163</w:t>
        <w:t xml:space="preserve">.  </w:t>
      </w:r>
      <w:r>
        <w:rPr>
          <w:b/>
        </w:rPr>
        <w:t xml:space="preserve">Maine taxable income of resident estate or trust</w:t>
      </w:r>
    </w:p>
    <w:p>
      <w:pPr>
        <w:jc w:val="both"/>
        <w:spacing w:before="100" w:after="100"/>
        <w:ind w:start="360"/>
        <w:ind w:firstLine="360"/>
      </w:pPr>
      <w:r>
        <w:rPr/>
      </w:r>
      <w:r>
        <w:rPr/>
      </w:r>
      <w:r>
        <w:t xml:space="preserve">The Maine taxable income of a resident estate or trust is equal to its federal taxable income modified by the addition or subtraction of its share of the fiduciary adjustment determined under </w:t>
      </w:r>
      <w:r>
        <w:t>section 5164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390, §36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154, §F1 (NEW). PL 2003, c. 390,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§5163. Maine taxable income of resident estate or trust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§5163. Maine taxable income of resident estate or trust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§5163. MAINE TAXABLE INCOME OF RESIDENT ESTATE OR TRUST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