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6585</w:t>
        <w:t xml:space="preserve">.  </w:t>
      </w:r>
      <w:r>
        <w:rPr>
          <w:b/>
        </w:rPr>
        <w:t xml:space="preserve">Undisclosed and future use tax liabilities; other settlements</w:t>
      </w:r>
    </w:p>
    <w:p>
      <w:pPr>
        <w:jc w:val="both"/>
        <w:spacing w:before="100" w:after="100"/>
        <w:ind w:start="360"/>
        <w:ind w:firstLine="360"/>
      </w:pPr>
      <w:r>
        <w:rPr/>
      </w:r>
      <w:r>
        <w:rPr/>
      </w:r>
      <w:r>
        <w:t xml:space="preserve">Nothing in this chapter may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Nothing in this chapter may be construed to limit a taxpayer's right to protest or pursue an administrative or judicial proceeding with regard to an assessment of such undisclosed taxes.  Notwithstanding any other provision of law, the assessor may, prior to July 1, 2006,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§6585. Undisclosed and future use tax liabilities; other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§6585. Undisclosed and future use tax liabilities; other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§6585. UNDISCLOSED AND FUTURE USE TAX LIABILITIES; OTHER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