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752</w:t>
        <w:t xml:space="preserve">.  </w:t>
      </w:r>
      <w:r>
        <w:rPr>
          <w:b/>
        </w:rPr>
        <w:t xml:space="preserve">-- payment</w:t>
      </w:r>
    </w:p>
    <w:p>
      <w:pPr>
        <w:jc w:val="both"/>
        <w:spacing w:before="100" w:after="100"/>
        <w:ind w:start="360"/>
        <w:ind w:firstLine="360"/>
      </w:pPr>
      <w:r>
        <w:rPr/>
      </w:r>
      <w:r>
        <w:rPr/>
      </w:r>
      <w:r>
        <w:t xml:space="preserve">On or before the first day of September in each year, the Treasurer of State shall issue his warrant to the treasurer of each municipality requiring him to transmit and pay to the Treasurer of State, on or before the time fixed by law, that municipality's proportion of the state tax for the current year. Warrants for county taxes shall be issued by the county treasurers in the same manner with proper changes.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§752. -- payment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§752. -- payment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§752. -- PAYMENT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