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Remedy of owners of property taken for default of others</w:t>
      </w:r>
    </w:p>
    <w:p>
      <w:pPr>
        <w:jc w:val="both"/>
        <w:spacing w:before="100" w:after="100"/>
        <w:ind w:start="360"/>
        <w:ind w:firstLine="360"/>
      </w:pPr>
      <w:r>
        <w:rPr/>
      </w:r>
      <w:r>
        <w:rPr/>
      </w:r>
      <w:r>
        <w:t xml:space="preserve">When the estate of an inhabitant of a municipality, who is not a tax collector thereof, is levied upon and taken as mentioned in </w:t>
      </w:r>
      <w:r>
        <w:t>section 891</w:t>
      </w:r>
      <w:r>
        <w:t xml:space="preserve">, he may maintain an action against such municipality, and recover the full value of the estate so levied on, with interest at the rate of 20% from the time it was taken, with costs. Such value may be proved by any other legal evidence, as well as by the result of the sale under such levy.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 Remedy of owners of property taken for default of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Remedy of owners of property taken for default of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§901. REMEDY OF OWNERS OF PROPERTY TAKEN FOR DEFAULT OF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