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384</w:t>
        <w:t xml:space="preserve">.  </w:t>
      </w:r>
      <w:r>
        <w:rPr>
          <w:b/>
        </w:rPr>
        <w:t xml:space="preserve">Flag to be carried</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IN EFFECT PENDING REFERENDUM:  See PL 2023, c. 487, §3)</w:t>
        <w:t xml:space="preserve"> </w:t>
      </w:r>
      <w:r>
        <w:rPr/>
      </w:r>
      <w:r>
        <w:t xml:space="preserve">The flag of the State to be carried by the National Guard shall be the same as the flag described in Title 1, section 206, with addition of a scroll in red below the coat of arms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1983, c. 460, §3 (NEW).]</w:t>
      </w:r>
    </w:p>
    <w:p>
      <w:pPr>
        <w:jc w:val="both"/>
        <w:spacing w:before="100" w:after="100"/>
        <w:ind w:start="360"/>
        <w:ind w:firstLine="360"/>
      </w:pPr>
      <w:r>
        <w:rPr/>
      </w:r>
      <w:r>
        <w:rPr>
          <w:b/>
        </w:rPr>
        <w:t>(TEXT EFFECTIVE IF REFERENDUM PASSES:  See PL 2023, c. 487, §3)</w:t>
        <w:t xml:space="preserve"> </w:t>
      </w:r>
      <w:r>
        <w:rPr/>
      </w:r>
      <w:r>
        <w:t xml:space="preserve">The flag of the State to be carried by the National Guard must be the same as the flag described in Title 1, section 206, with addition of a scroll in red below the emblem of the State bearing the inscription, "Maine National Guard."</w:t>
      </w:r>
      <w:r>
        <w:t xml:space="preserve">  </w:t>
      </w:r>
      <w:r xmlns:wp="http://schemas.openxmlformats.org/drawingml/2010/wordprocessingDrawing" xmlns:w15="http://schemas.microsoft.com/office/word/2012/wordml">
        <w:rPr>
          <w:rFonts w:ascii="Arial" w:hAnsi="Arial" w:cs="Arial"/>
          <w:sz w:val="22"/>
          <w:szCs w:val="22"/>
        </w:rPr>
        <w:t xml:space="preserve">[PL 2023, c. 487, §2 (AMD); PL 2023, c. 487,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2023, c. 487, §2 (AMD). PL 2023, c. 487,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§384. Flag to be carried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§384. FLAG TO BE CARRIED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